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Сопроводительное письмо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исполнению задач карты проектов ТБН №4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 4 квартал 2025 года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851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 направляет отчёт по исполнению задач карты проектов ТБН№4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Статус по исполнению задач в нижеприведённой таблице:</w:t>
      </w:r>
      <w:r w:rsidDel="00000000" w:rsidR="00000000" w:rsidRPr="00000000">
        <w:rPr>
          <w:rtl w:val="0"/>
        </w:rPr>
      </w:r>
    </w:p>
    <w:tbl>
      <w:tblPr>
        <w:tblStyle w:val="Table1"/>
        <w:tblW w:w="15168.000000000002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2586"/>
        <w:gridCol w:w="1134"/>
        <w:gridCol w:w="3828"/>
        <w:gridCol w:w="1417"/>
        <w:gridCol w:w="4677"/>
        <w:tblGridChange w:id="0">
          <w:tblGrid>
            <w:gridCol w:w="1526"/>
            <w:gridCol w:w="2586"/>
            <w:gridCol w:w="1134"/>
            <w:gridCol w:w="3828"/>
            <w:gridCol w:w="1417"/>
            <w:gridCol w:w="4677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Задачи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4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Подзадачи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Статус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Форма завершения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Внутренний анализ коррупционных рисков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1.</w:t>
            </w:r>
            <w:r w:rsidDel="00000000" w:rsidR="00000000" w:rsidRPr="00000000">
              <w:rPr>
                <w:rtl w:val="0"/>
              </w:rPr>
              <w:t xml:space="preserve"> Подготовка к проведению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Утверждение графика проведения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Утвержден график проведения внутреннего анализа коррупционных рисков, согласно приказу Директора от 01 декабря 2025 года  №94-н/қ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Утверждение приказа по проведению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Издан приказ Директора по проведению внутреннего анализа коррупционных рисков, от 01 декабря 2025 года  №94-н/қ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3.</w:t>
            </w:r>
            <w:r w:rsidDel="00000000" w:rsidR="00000000" w:rsidRPr="00000000">
              <w:rPr>
                <w:rtl w:val="0"/>
              </w:rPr>
              <w:t xml:space="preserve"> Анонсирование на интернет-ресурсе,  СМИ и социальных сетях начала проведения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https://www.instagram.com/p/DSj4BaEjT--/?igsh=ZzJtNXhwcHNzMGFk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2.</w:t>
            </w:r>
            <w:r w:rsidDel="00000000" w:rsidR="00000000" w:rsidRPr="00000000">
              <w:rPr>
                <w:rtl w:val="0"/>
              </w:rPr>
              <w:t xml:space="preserve"> Проведение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Анонсирование на интернет-ресурсе, СМИ и социальных сетях начала публичного обсуждения результатов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https://www.instagram.com/p/DSj4BaEjT--/?igsh=ZzJtNXhwcHNzMGFk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71"/>
              </w:tabs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Публичное обсуждение результатов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протокол от 05 февраля 2025 года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3.</w:t>
            </w:r>
            <w:r w:rsidDel="00000000" w:rsidR="00000000" w:rsidRPr="00000000">
              <w:rPr>
                <w:rtl w:val="0"/>
              </w:rPr>
              <w:t xml:space="preserve"> Подписание аналитической справки по результатам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Аналитическая справка от 05 февраля 2025 года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3.</w:t>
            </w:r>
            <w:r w:rsidDel="00000000" w:rsidR="00000000" w:rsidRPr="00000000">
              <w:rPr>
                <w:rtl w:val="0"/>
              </w:rPr>
              <w:t xml:space="preserve"> Устранение выявленных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Разработка плана мероприятий по устранению причин и условий, способствующих совершению коррупционных правонарушений, выявленных по результатам ВАКР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план мероприятий по устранению причин и условий, способствующих совершению коррупционных правонарушений, выявленных по результатам ВАКР от 05 февраля 2025 года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Размещение аналитической справки и плана мероприятий на интернет-ресурсе субъекта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3.</w:t>
            </w:r>
            <w:r w:rsidDel="00000000" w:rsidR="00000000" w:rsidRPr="00000000">
              <w:rPr>
                <w:rtl w:val="0"/>
              </w:rPr>
              <w:t xml:space="preserve"> Мониторинг устранения причин и условий, способствующих совершению коррупционных правонарушений, путем подготовки информации об исполнении рекомендаций, внесенных по итогам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Письмами от 22 мая 2025 года в МКИ РК и Антикор по городу Астана направлена информация направлена информация об исполнении рекомендаций№ размещено на сайте Академии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4</w:t>
            </w:r>
            <w:r w:rsidDel="00000000" w:rsidR="00000000" w:rsidRPr="00000000">
              <w:rPr>
                <w:rtl w:val="0"/>
              </w:rPr>
              <w:t xml:space="preserve">. Разработка реестра должностей, подверженных коррупционным рискам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Составление перечня должностей, подверженных коррупционным рискам, определенных по итогам внутреннего анализа коррупционных рисков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Перечень должностей, подверженных коррупционным рискам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5</w:t>
            </w:r>
            <w:r w:rsidDel="00000000" w:rsidR="00000000" w:rsidRPr="00000000">
              <w:rPr>
                <w:rtl w:val="0"/>
              </w:rPr>
              <w:t xml:space="preserve">. Ведение картограммы коррупции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Актуализация сведений в картограмме коррупционных рисков на официальном интернет-ресурсе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Карта рисков по результатам ВАКР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Соблюдение норм антикоррупционного законодательства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1.</w:t>
            </w:r>
            <w:r w:rsidDel="00000000" w:rsidR="00000000" w:rsidRPr="00000000">
              <w:rPr>
                <w:rtl w:val="0"/>
              </w:rPr>
              <w:t xml:space="preserve"> Выявление коррупционных правонарушений (административных и уголовных)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Сообщение о коррупционных правонарушениях (административных и уголовных) от государственного органа, послужившего основанием для возбуждени производства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сообщений от государственного органа о коррупционных правонарушениях послужившего основанием для возбуждени производства - не поступали.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2.</w:t>
            </w:r>
            <w:r w:rsidDel="00000000" w:rsidR="00000000" w:rsidRPr="00000000">
              <w:rPr>
                <w:rtl w:val="0"/>
              </w:rPr>
              <w:t xml:space="preserve"> Мониторинг совершенных фактов коррупционных правонарушений и правонарушений, дискредитирующих государственную службу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Указание количества  коррупционных  правонарушений (административных и уголовных), дискредитирующих государственную службу, совершенных госслужащими, а также лицами, приравненных к лицам,  уполномоченных на выполнение государственных фукнций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коррупционных правонарушений (административные и уголовные) не установлены.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3.</w:t>
            </w:r>
            <w:r w:rsidDel="00000000" w:rsidR="00000000" w:rsidRPr="00000000">
              <w:rPr>
                <w:rtl w:val="0"/>
              </w:rPr>
              <w:t xml:space="preserve"> Мониторинг соблюдения требований ответственности руководителей за коррупцию подчиненных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Мониторинг привлечения к дисциплинарной ответственности руководителей за коррупционные преступления подчиненных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привлечения к дисциплинарной ответственности руководителей за коррупционные преступления подчиненных не установлены.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Установление фактов не рассмотрения ответственности руководителей за коррупцию подчиненных, в связи с назначением на иную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не рассмотрения ответственности руководителей за коррупцию подчиненных, в связи с назначением на иную должность – не установлены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4.</w:t>
            </w:r>
            <w:r w:rsidDel="00000000" w:rsidR="00000000" w:rsidRPr="00000000">
              <w:rPr>
                <w:rtl w:val="0"/>
              </w:rPr>
              <w:t xml:space="preserve">  Мониторинг фактов принятия на работу лиц, ранее совершивших коррупционное правонарушение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Установление  фактов, принятия на работу лиц ранее совершивших коррупционное правонарушение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фактов принятия, на работу лиц, ранее совершивших коррупционное правонарушение не установлены.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5.</w:t>
            </w:r>
            <w:r w:rsidDel="00000000" w:rsidR="00000000" w:rsidRPr="00000000">
              <w:rPr>
                <w:rtl w:val="0"/>
              </w:rPr>
              <w:t xml:space="preserve">  Мониторинг соблюдения антикоррупционных ограничений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1.</w:t>
            </w:r>
            <w:r w:rsidDel="00000000" w:rsidR="00000000" w:rsidRPr="00000000">
              <w:rPr>
                <w:rtl w:val="0"/>
              </w:rPr>
              <w:t xml:space="preserve"> Установление лиц, осуществляющих деятельность, не совместимую с выполнением государственных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факты, об осуществлении лицами деятельности, не совместимых с выполнением государственных функций не установлены.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Установление фактов  осуществления должностных обязанностей при наличии конфликта интересов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осуществления должностных обязанностей при наличии конфликта интересов не установлены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3.</w:t>
            </w:r>
            <w:r w:rsidDel="00000000" w:rsidR="00000000" w:rsidRPr="00000000">
              <w:rPr>
                <w:rtl w:val="0"/>
              </w:rPr>
              <w:t xml:space="preserve"> Установление 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 не установлены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4.</w:t>
            </w:r>
            <w:r w:rsidDel="00000000" w:rsidR="00000000" w:rsidRPr="00000000">
              <w:rPr>
                <w:rtl w:val="0"/>
              </w:rPr>
              <w:t xml:space="preserve"> Установление фактов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не установлены.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5.</w:t>
            </w:r>
            <w:r w:rsidDel="00000000" w:rsidR="00000000" w:rsidRPr="00000000">
              <w:rPr>
                <w:rtl w:val="0"/>
              </w:rPr>
              <w:t xml:space="preserve"> 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факты открытия, владения счетами (вкладами), хранения наличных денег и ценностей в иностранных банках, расположенных за пределами Республики Казахстан не установлены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6.</w:t>
            </w:r>
            <w:r w:rsidDel="00000000" w:rsidR="00000000" w:rsidRPr="00000000">
              <w:rPr>
                <w:rtl w:val="0"/>
              </w:rPr>
              <w:t xml:space="preserve">  Разработка антикоррупционного стандарта в соответствии с методическими рекомендациями, утвержденными приказом Председателя АПК от  31.12.2024 г. №285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371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Подзадача 1. Разработка антикоррупционного стандарта в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37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 отчетный период методические рекомендации рассмотрены и антикоррупционный стандарт находится на стадии разработки. Согласно Карте срок предусмотрен IV квартал 2025 года.  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Антикоррупционный комплаенс в субъектах квазигосударственного сектора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1.</w:t>
            </w:r>
            <w:r w:rsidDel="00000000" w:rsidR="00000000" w:rsidRPr="00000000">
              <w:rPr>
                <w:rtl w:val="0"/>
              </w:rPr>
              <w:t xml:space="preserve"> Уркепление антикоррупционной культуры среди государственных служащих и работников субъектов КГС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Прохождение государственными служащими, а также работниками субъектов квазигосударственного сектора антикоррупционного онлайн-курса в ИС «Documentolog» (100%).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371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 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firstLine="3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отчетном периоде антикоррупционного онлайн-курса в ИС «Documentolog» не доступен по техническим обстоятельствам и требуются дополнительные бюджетные средства для прохождения  антикоррупционного онлайн-курса в ИС «Documentolog»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 2.</w:t>
            </w:r>
            <w:r w:rsidDel="00000000" w:rsidR="00000000" w:rsidRPr="00000000">
              <w:rPr>
                <w:rtl w:val="0"/>
              </w:rPr>
              <w:t xml:space="preserve"> Антикоррупционная документация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1"/>
              </w:tabs>
              <w:spacing w:after="160" w:before="0" w:line="259" w:lineRule="auto"/>
              <w:ind w:left="601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371"/>
              </w:tabs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Подзадача 2.</w:t>
            </w:r>
            <w:r w:rsidDel="00000000" w:rsidR="00000000" w:rsidRPr="00000000">
              <w:rPr>
                <w:rtl w:val="0"/>
              </w:rPr>
              <w:t xml:space="preserve"> Проведение ежеквартальных  разъяснительных  и обучающих мероприятий по вопросам соблюдения требований законодательства о противодействии коррупции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371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Исполнен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Протоколы:</w:t>
            </w:r>
          </w:p>
          <w:p w:rsidR="00000000" w:rsidDel="00000000" w:rsidP="00000000" w:rsidRDefault="00000000" w:rsidRPr="00000000" w14:paraId="0000009E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05 февраля 2025 года; </w:t>
            </w:r>
          </w:p>
          <w:p w:rsidR="00000000" w:rsidDel="00000000" w:rsidP="00000000" w:rsidRDefault="00000000" w:rsidRPr="00000000" w14:paraId="0000009F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15 мая 2025 года;</w:t>
            </w:r>
          </w:p>
          <w:p w:rsidR="00000000" w:rsidDel="00000000" w:rsidP="00000000" w:rsidRDefault="00000000" w:rsidRPr="00000000" w14:paraId="000000A0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20 июня 2025 года;</w:t>
            </w:r>
          </w:p>
          <w:p w:rsidR="00000000" w:rsidDel="00000000" w:rsidP="00000000" w:rsidRDefault="00000000" w:rsidRPr="00000000" w14:paraId="000000A1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21 августа 2025 года;</w:t>
            </w:r>
          </w:p>
          <w:p w:rsidR="00000000" w:rsidDel="00000000" w:rsidP="00000000" w:rsidRDefault="00000000" w:rsidRPr="00000000" w14:paraId="000000A2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03 сентября 2025 года.</w:t>
            </w:r>
          </w:p>
          <w:p w:rsidR="00000000" w:rsidDel="00000000" w:rsidP="00000000" w:rsidRDefault="00000000" w:rsidRPr="00000000" w14:paraId="000000A3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18 ноября 2025 года.</w:t>
            </w:r>
          </w:p>
          <w:p w:rsidR="00000000" w:rsidDel="00000000" w:rsidP="00000000" w:rsidRDefault="00000000" w:rsidRPr="00000000" w14:paraId="000000A4">
            <w:pPr>
              <w:ind w:firstLine="567"/>
              <w:rPr/>
            </w:pPr>
            <w:r w:rsidDel="00000000" w:rsidR="00000000" w:rsidRPr="00000000">
              <w:rPr>
                <w:rtl w:val="0"/>
              </w:rPr>
              <w:t xml:space="preserve">от 18 декабря 2025 года.</w:t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sectPr>
      <w:pgSz w:h="11906" w:w="16838" w:orient="landscape"/>
      <w:pgMar w:bottom="568" w:top="42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13" w:hanging="360"/>
      </w:pPr>
      <w:rPr/>
    </w:lvl>
    <w:lvl w:ilvl="1">
      <w:start w:val="1"/>
      <w:numFmt w:val="lowerLetter"/>
      <w:lvlText w:val="%2."/>
      <w:lvlJc w:val="left"/>
      <w:pPr>
        <w:ind w:left="2433" w:hanging="360"/>
      </w:pPr>
      <w:rPr/>
    </w:lvl>
    <w:lvl w:ilvl="2">
      <w:start w:val="1"/>
      <w:numFmt w:val="lowerRoman"/>
      <w:lvlText w:val="%3."/>
      <w:lvlJc w:val="right"/>
      <w:pPr>
        <w:ind w:left="3153" w:hanging="180"/>
      </w:pPr>
      <w:rPr/>
    </w:lvl>
    <w:lvl w:ilvl="3">
      <w:start w:val="1"/>
      <w:numFmt w:val="decimal"/>
      <w:lvlText w:val="%4."/>
      <w:lvlJc w:val="left"/>
      <w:pPr>
        <w:ind w:left="3873" w:hanging="360"/>
      </w:pPr>
      <w:rPr/>
    </w:lvl>
    <w:lvl w:ilvl="4">
      <w:start w:val="1"/>
      <w:numFmt w:val="lowerLetter"/>
      <w:lvlText w:val="%5."/>
      <w:lvlJc w:val="left"/>
      <w:pPr>
        <w:ind w:left="4593" w:hanging="360"/>
      </w:pPr>
      <w:rPr/>
    </w:lvl>
    <w:lvl w:ilvl="5">
      <w:start w:val="1"/>
      <w:numFmt w:val="lowerRoman"/>
      <w:lvlText w:val="%6."/>
      <w:lvlJc w:val="right"/>
      <w:pPr>
        <w:ind w:left="5313" w:hanging="180"/>
      </w:pPr>
      <w:rPr/>
    </w:lvl>
    <w:lvl w:ilvl="6">
      <w:start w:val="1"/>
      <w:numFmt w:val="decimal"/>
      <w:lvlText w:val="%7."/>
      <w:lvlJc w:val="left"/>
      <w:pPr>
        <w:ind w:left="6033" w:hanging="360"/>
      </w:pPr>
      <w:rPr/>
    </w:lvl>
    <w:lvl w:ilvl="7">
      <w:start w:val="1"/>
      <w:numFmt w:val="lowerLetter"/>
      <w:lvlText w:val="%8."/>
      <w:lvlJc w:val="left"/>
      <w:pPr>
        <w:ind w:left="6753" w:hanging="360"/>
      </w:pPr>
      <w:rPr/>
    </w:lvl>
    <w:lvl w:ilvl="8">
      <w:start w:val="1"/>
      <w:numFmt w:val="lowerRoman"/>
      <w:lvlText w:val="%9."/>
      <w:lvlJc w:val="right"/>
      <w:pPr>
        <w:ind w:left="747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C0B7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1B0610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6E4D61"/>
    <w:rPr>
      <w:color w:val="0563c1"/>
      <w:u w:val="single"/>
    </w:rPr>
  </w:style>
  <w:style w:type="character" w:styleId="30" w:customStyle="1">
    <w:name w:val="Заголовок 3 Знак"/>
    <w:basedOn w:val="a0"/>
    <w:link w:val="3"/>
    <w:uiPriority w:val="9"/>
    <w:rsid w:val="00D625E3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ru-RU"/>
    </w:rPr>
  </w:style>
  <w:style w:type="character" w:styleId="10" w:customStyle="1">
    <w:name w:val="Заголовок 1 Знак"/>
    <w:basedOn w:val="a0"/>
    <w:link w:val="1"/>
    <w:rsid w:val="00D1408E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WQ/poc3/fafoSaRAee/XlApbg==">CgMxLjA4AHIhMTlDTFIzb1JFdlNNcWdNaV93ak96eGpmRWhXdXdZOFRt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2025-04-07T06:46:00Z</dcterms:created>
  <dc:creator>Ерасыл Жардемов</dc:creator>
</cp:coreProperties>
</file>